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05" w:rsidRPr="008323EE" w:rsidRDefault="008B6705" w:rsidP="008B6705">
      <w:pPr>
        <w:tabs>
          <w:tab w:val="left" w:pos="4962"/>
        </w:tabs>
        <w:rPr>
          <w:rFonts w:ascii="Times New Roman" w:hAnsi="Times New Roman" w:cs="Times New Roman"/>
          <w:b/>
          <w:sz w:val="24"/>
          <w:szCs w:val="24"/>
        </w:rPr>
      </w:pP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A87917">
        <w:rPr>
          <w:rFonts w:ascii="Times New Roman" w:hAnsi="Times New Roman" w:cs="Times New Roman"/>
          <w:sz w:val="24"/>
          <w:szCs w:val="24"/>
        </w:rPr>
        <w:tab/>
      </w:r>
      <w:r w:rsidRPr="008323EE">
        <w:rPr>
          <w:rFonts w:ascii="Times New Roman" w:hAnsi="Times New Roman" w:cs="Times New Roman"/>
          <w:sz w:val="24"/>
          <w:szCs w:val="24"/>
        </w:rPr>
        <w:tab/>
      </w:r>
      <w:r w:rsidRPr="008323EE">
        <w:rPr>
          <w:rFonts w:ascii="Times New Roman" w:hAnsi="Times New Roman" w:cs="Times New Roman"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>«З А Т В Е Р Д Ж У Ю»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  <w:t>Голова Чернігівського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  <w:t xml:space="preserve">апеляційного суду 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</w:r>
      <w:r w:rsidRPr="008323EE">
        <w:rPr>
          <w:rFonts w:ascii="Times New Roman" w:hAnsi="Times New Roman" w:cs="Times New Roman"/>
          <w:b/>
          <w:sz w:val="24"/>
          <w:szCs w:val="24"/>
        </w:rPr>
        <w:tab/>
        <w:t xml:space="preserve">_________________Г.А. </w:t>
      </w:r>
      <w:proofErr w:type="spellStart"/>
      <w:r w:rsidRPr="008323EE">
        <w:rPr>
          <w:rFonts w:ascii="Times New Roman" w:hAnsi="Times New Roman" w:cs="Times New Roman"/>
          <w:b/>
          <w:sz w:val="24"/>
          <w:szCs w:val="24"/>
        </w:rPr>
        <w:t>Салай</w:t>
      </w:r>
      <w:proofErr w:type="spellEnd"/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705" w:rsidRPr="008323EE" w:rsidRDefault="0092267D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«21» липня </w:t>
      </w:r>
      <w:r w:rsidR="008B6705" w:rsidRPr="008323EE">
        <w:rPr>
          <w:rFonts w:ascii="Times New Roman" w:hAnsi="Times New Roman" w:cs="Times New Roman"/>
          <w:b/>
          <w:sz w:val="24"/>
          <w:szCs w:val="24"/>
        </w:rPr>
        <w:t>2022 року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F49" w:rsidRPr="008323EE" w:rsidRDefault="00567F49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1EC" w:rsidRPr="008323EE" w:rsidRDefault="005161EC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1EC" w:rsidRPr="008323EE" w:rsidRDefault="005161EC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1EC" w:rsidRPr="008323EE" w:rsidRDefault="005161EC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1EC" w:rsidRPr="008323EE" w:rsidRDefault="005161EC" w:rsidP="008B6705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705" w:rsidRPr="008323EE" w:rsidRDefault="008B6705" w:rsidP="008B670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705" w:rsidRPr="008323EE" w:rsidRDefault="008B6705" w:rsidP="008B670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>роботи Чернігівського апеляційного суду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E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0942" w:rsidRPr="008323EE">
        <w:rPr>
          <w:rFonts w:ascii="Times New Roman" w:hAnsi="Times New Roman" w:cs="Times New Roman"/>
          <w:b/>
          <w:sz w:val="24"/>
          <w:szCs w:val="24"/>
        </w:rPr>
        <w:t>друге</w:t>
      </w:r>
      <w:r w:rsidRPr="008323EE">
        <w:rPr>
          <w:rFonts w:ascii="Times New Roman" w:hAnsi="Times New Roman" w:cs="Times New Roman"/>
          <w:b/>
          <w:sz w:val="24"/>
          <w:szCs w:val="24"/>
        </w:rPr>
        <w:t xml:space="preserve"> півріччя 2022 року</w:t>
      </w:r>
    </w:p>
    <w:p w:rsidR="008B6705" w:rsidRPr="008323EE" w:rsidRDefault="008B6705" w:rsidP="008B6705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6662"/>
        <w:gridCol w:w="42"/>
        <w:gridCol w:w="1659"/>
        <w:gridCol w:w="42"/>
        <w:gridCol w:w="4211"/>
        <w:gridCol w:w="41"/>
        <w:gridCol w:w="1802"/>
      </w:tblGrid>
      <w:tr w:rsidR="008B6705" w:rsidRPr="008323EE" w:rsidTr="007849F4">
        <w:trPr>
          <w:trHeight w:val="240"/>
          <w:jc w:val="center"/>
        </w:trPr>
        <w:tc>
          <w:tcPr>
            <w:tcW w:w="577" w:type="dxa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ind w:hanging="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Заходи </w:t>
            </w:r>
          </w:p>
        </w:tc>
        <w:tc>
          <w:tcPr>
            <w:tcW w:w="1701" w:type="dxa"/>
            <w:gridSpan w:val="2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4253" w:type="dxa"/>
            <w:gridSpan w:val="2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gridSpan w:val="2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B41F98" w:rsidRPr="008323EE" w:rsidTr="007849F4">
        <w:trPr>
          <w:trHeight w:val="110"/>
          <w:jc w:val="center"/>
        </w:trPr>
        <w:tc>
          <w:tcPr>
            <w:tcW w:w="15036" w:type="dxa"/>
            <w:gridSpan w:val="8"/>
          </w:tcPr>
          <w:p w:rsidR="00B41F98" w:rsidRPr="008323EE" w:rsidRDefault="00B41F98" w:rsidP="00B41F9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Аналіз судової статистики та узагальнення стану здійснення правосуддя</w:t>
            </w:r>
          </w:p>
        </w:tc>
      </w:tr>
      <w:tr w:rsidR="00B41F98" w:rsidRPr="008323EE" w:rsidTr="007849F4">
        <w:trPr>
          <w:trHeight w:val="593"/>
          <w:jc w:val="center"/>
        </w:trPr>
        <w:tc>
          <w:tcPr>
            <w:tcW w:w="577" w:type="dxa"/>
          </w:tcPr>
          <w:p w:rsidR="00B41F98" w:rsidRPr="008323EE" w:rsidRDefault="00B41F98" w:rsidP="00950363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B41F98" w:rsidRPr="008323EE" w:rsidRDefault="00B41F98" w:rsidP="009F2CF7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Аналіз статистичних даних роботи суду  з метою визначення стану здійснення судочинства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у 1 півріччі 2022 року</w:t>
            </w:r>
          </w:p>
        </w:tc>
        <w:tc>
          <w:tcPr>
            <w:tcW w:w="1701" w:type="dxa"/>
            <w:gridSpan w:val="2"/>
          </w:tcPr>
          <w:p w:rsidR="00B41F98" w:rsidRPr="008323EE" w:rsidRDefault="009F2CF7" w:rsidP="00212F77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липен</w:t>
            </w:r>
            <w:r w:rsidR="00B41F98" w:rsidRPr="008323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2" w:type="dxa"/>
            <w:gridSpan w:val="2"/>
          </w:tcPr>
          <w:p w:rsidR="00B41F98" w:rsidRPr="008323EE" w:rsidRDefault="00B41F98" w:rsidP="00191831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F77" w:rsidRPr="00832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удд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-секретар</w:t>
            </w:r>
            <w:r w:rsidR="00191831" w:rsidRPr="008323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судових </w:t>
            </w:r>
            <w:r w:rsidR="00191831" w:rsidRPr="008323EE">
              <w:rPr>
                <w:rFonts w:ascii="Times New Roman" w:hAnsi="Times New Roman" w:cs="Times New Roman"/>
                <w:sz w:val="24"/>
                <w:szCs w:val="24"/>
              </w:rPr>
              <w:t>палат</w:t>
            </w:r>
          </w:p>
        </w:tc>
        <w:tc>
          <w:tcPr>
            <w:tcW w:w="1802" w:type="dxa"/>
          </w:tcPr>
          <w:p w:rsidR="00B41F98" w:rsidRPr="008323EE" w:rsidRDefault="00B41F98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705" w:rsidRPr="008323EE" w:rsidTr="007849F4">
        <w:trPr>
          <w:trHeight w:val="559"/>
          <w:jc w:val="center"/>
        </w:trPr>
        <w:tc>
          <w:tcPr>
            <w:tcW w:w="577" w:type="dxa"/>
          </w:tcPr>
          <w:p w:rsidR="008B6705" w:rsidRPr="008323EE" w:rsidRDefault="008B6705" w:rsidP="00950363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8B6705" w:rsidRPr="008323EE" w:rsidRDefault="00C753C4" w:rsidP="00212F77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підсумків роботи суду у 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1 півріччі 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році </w:t>
            </w:r>
          </w:p>
        </w:tc>
        <w:tc>
          <w:tcPr>
            <w:tcW w:w="1701" w:type="dxa"/>
            <w:gridSpan w:val="2"/>
          </w:tcPr>
          <w:p w:rsidR="008B6705" w:rsidRPr="008323EE" w:rsidRDefault="009F2CF7" w:rsidP="00212F77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липень, серпень</w:t>
            </w:r>
          </w:p>
        </w:tc>
        <w:tc>
          <w:tcPr>
            <w:tcW w:w="4252" w:type="dxa"/>
            <w:gridSpan w:val="2"/>
          </w:tcPr>
          <w:p w:rsidR="008B6705" w:rsidRPr="008323EE" w:rsidRDefault="00567F49" w:rsidP="001918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Голова суду, з</w:t>
            </w:r>
            <w:r w:rsidR="00C753C4" w:rsidRPr="008323EE">
              <w:rPr>
                <w:rFonts w:ascii="Times New Roman" w:hAnsi="Times New Roman" w:cs="Times New Roman"/>
                <w:sz w:val="24"/>
                <w:szCs w:val="24"/>
              </w:rPr>
              <w:t>аступник голови суду та судд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753C4"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753C4"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судов</w:t>
            </w:r>
            <w:r w:rsidR="009F2CF7" w:rsidRPr="008323E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753C4"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</w:p>
        </w:tc>
        <w:tc>
          <w:tcPr>
            <w:tcW w:w="1802" w:type="dxa"/>
          </w:tcPr>
          <w:p w:rsidR="008B6705" w:rsidRPr="008323EE" w:rsidRDefault="008B6705" w:rsidP="00FA2F60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36F" w:rsidRPr="008323EE" w:rsidTr="007849F4">
        <w:trPr>
          <w:trHeight w:val="225"/>
          <w:jc w:val="center"/>
        </w:trPr>
        <w:tc>
          <w:tcPr>
            <w:tcW w:w="577" w:type="dxa"/>
          </w:tcPr>
          <w:p w:rsidR="0037536F" w:rsidRPr="008323EE" w:rsidRDefault="0037536F" w:rsidP="00950363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37536F" w:rsidRPr="008323EE" w:rsidRDefault="0037536F" w:rsidP="0037536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Узагальнення судової практики розгляду цивільних справ на тему: «Практика ухвалення та перегляду судами рішень у цивільних справах про оскарження нотаріальних дій»</w:t>
            </w:r>
          </w:p>
        </w:tc>
        <w:tc>
          <w:tcPr>
            <w:tcW w:w="1701" w:type="dxa"/>
            <w:gridSpan w:val="2"/>
          </w:tcPr>
          <w:p w:rsidR="0037536F" w:rsidRPr="008323EE" w:rsidRDefault="0037536F" w:rsidP="0037536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серпень, вересень</w:t>
            </w:r>
          </w:p>
        </w:tc>
        <w:tc>
          <w:tcPr>
            <w:tcW w:w="4252" w:type="dxa"/>
            <w:gridSpan w:val="2"/>
          </w:tcPr>
          <w:p w:rsidR="0037536F" w:rsidRPr="008323EE" w:rsidRDefault="0037536F" w:rsidP="0037536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Судді судової палати у цивільних справах </w:t>
            </w:r>
          </w:p>
        </w:tc>
        <w:tc>
          <w:tcPr>
            <w:tcW w:w="1802" w:type="dxa"/>
          </w:tcPr>
          <w:p w:rsidR="0037536F" w:rsidRPr="008323EE" w:rsidRDefault="0037536F" w:rsidP="0037536F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400EE7">
        <w:trPr>
          <w:trHeight w:val="126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  <w:vAlign w:val="center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Проведення засідання судової палати за підсумками роботи у першому  півріччі 2022 році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Заболотний В.М.</w:t>
            </w:r>
          </w:p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91757A">
        <w:trPr>
          <w:trHeight w:val="135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  <w:vAlign w:val="center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Аналіз судової статистики роботи місцевих судів області у першому півріччі 2022 році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Заболотний В.М. </w:t>
            </w: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Ворох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Н.В.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91757A">
        <w:trPr>
          <w:trHeight w:val="834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  <w:vAlign w:val="center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Підведення  підсумків роботи судів Чернігівської області у першому  півріччі 2022 році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        серпень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Заболотний В.М.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7849F4">
        <w:trPr>
          <w:trHeight w:val="435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Узагальнення судової практики та аналіз рішень слідчих суддів за результатами розгляду скарг на рішення, дії чи бездіяльність слідчого, </w:t>
            </w:r>
            <w:proofErr w:type="spellStart"/>
            <w:r w:rsidRPr="008323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дізнавача</w:t>
            </w:r>
            <w:proofErr w:type="spellEnd"/>
            <w:r w:rsidRPr="008323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чи прокурора під час досудового розслідування (ст. 303, 307 КПК України) щодо залишення таких скарг без розгляду та їх повернення протягом  2021 року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        вересень    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   Демченко О.В.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D97388">
        <w:trPr>
          <w:trHeight w:val="636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Узагальнення судової практики розгляду судами справ про порушення митних правил України щодо перевищення строку тимчасового ввезення товарів, у тому числі транспортних засобів особистого користування, транспортних засобів комерційного призначення або строку тимчасового вивезення товарів чи втрата транспортних засобів (ст. 481 МК України) протягом першого півріччя 2022 року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       жовтень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 Баглай І.П.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D97388">
        <w:trPr>
          <w:trHeight w:val="174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Узагальнення судової практики розгляду цивільних справ на тему: «Практика розгляду судами цивільних справ про спадкування»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Суддя-секретар судової палати у цивільних справах 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D97388">
        <w:trPr>
          <w:trHeight w:val="155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Аналіз роботи судової палати у цивільних справах Чернігівського апеляційного суду по розгляду звернень, скарг та заяв громадян у 2022 році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Суддя-секретар судової палати у цивільних справах 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D97388">
        <w:trPr>
          <w:trHeight w:val="192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Надання методичної допомоги суддям місцевих судів в застосуванні законодавства (відповідно до п. 3 ст. 27 Закону України „Про судоустрій і статус суддів ” від 2 червня 2016 року № 1402 – VIІІ)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E6065E">
        <w:trPr>
          <w:trHeight w:val="136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Перевірка повноти і правильності ведення номенклатурних справ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секретар суду судової палати у цивільних справах 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D97388">
        <w:trPr>
          <w:trHeight w:val="252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Перевірка повноти і правильності ведення обліково-статистичних карток</w:t>
            </w:r>
          </w:p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секретар суду судової палати у цивільних справах 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88" w:rsidRPr="008323EE" w:rsidTr="000154E7">
        <w:trPr>
          <w:trHeight w:val="281"/>
          <w:jc w:val="center"/>
        </w:trPr>
        <w:tc>
          <w:tcPr>
            <w:tcW w:w="577" w:type="dxa"/>
          </w:tcPr>
          <w:p w:rsidR="00D97388" w:rsidRPr="008323EE" w:rsidRDefault="00D97388" w:rsidP="00D97388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  <w:vAlign w:val="center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Проведення щотижневих  оперативних нарад</w:t>
            </w:r>
          </w:p>
        </w:tc>
        <w:tc>
          <w:tcPr>
            <w:tcW w:w="1701" w:type="dxa"/>
            <w:gridSpan w:val="2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2" w:type="dxa"/>
            <w:gridSpan w:val="2"/>
          </w:tcPr>
          <w:p w:rsidR="00D97388" w:rsidRPr="008323EE" w:rsidRDefault="00D97388" w:rsidP="00D97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Заболотний В.М.</w:t>
            </w:r>
          </w:p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Демченко О.В.</w:t>
            </w:r>
          </w:p>
        </w:tc>
        <w:tc>
          <w:tcPr>
            <w:tcW w:w="1802" w:type="dxa"/>
          </w:tcPr>
          <w:p w:rsidR="00D97388" w:rsidRPr="008323EE" w:rsidRDefault="00D97388" w:rsidP="00D9738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D97388">
        <w:trPr>
          <w:trHeight w:val="159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Проведення аналізів та узагальнень згідно плану роботи Верховного Суду, Державної судової адміністрації.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2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судді судової палати</w:t>
            </w:r>
          </w:p>
        </w:tc>
        <w:tc>
          <w:tcPr>
            <w:tcW w:w="1802" w:type="dxa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449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2"/>
              </w:numPr>
              <w:tabs>
                <w:tab w:val="left" w:pos="4962"/>
              </w:tabs>
              <w:spacing w:after="0" w:line="240" w:lineRule="auto"/>
              <w:ind w:left="0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Вивчення та обговорення практики Верховного Суду  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півріччя</w:t>
            </w:r>
          </w:p>
        </w:tc>
        <w:tc>
          <w:tcPr>
            <w:tcW w:w="4252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судді судової палати</w:t>
            </w:r>
          </w:p>
        </w:tc>
        <w:tc>
          <w:tcPr>
            <w:tcW w:w="1802" w:type="dxa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96"/>
          <w:jc w:val="center"/>
        </w:trPr>
        <w:tc>
          <w:tcPr>
            <w:tcW w:w="15036" w:type="dxa"/>
            <w:gridSpan w:val="8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>ІІ. Загальні питання і робота з персоналом</w:t>
            </w:r>
          </w:p>
        </w:tc>
      </w:tr>
      <w:tr w:rsidR="00F34EED" w:rsidRPr="008323EE" w:rsidTr="007849F4">
        <w:trPr>
          <w:trHeight w:val="31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Провести заходи щодо взяття жінок, працюючих в Чернігівському апеляційному суді, на військовий облік військовозобов’язаних згідно з Переліком спеціальностей та/або професій, споріднених з відповідними військово-обліковими спеціальностями, після одержання яких жінки беруться на військовий облік.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вересень-листопад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/>
                <w:sz w:val="24"/>
                <w:szCs w:val="24"/>
              </w:rPr>
              <w:t>Страшнова</w:t>
            </w:r>
            <w:proofErr w:type="spellEnd"/>
            <w:r w:rsidRPr="008323EE">
              <w:rPr>
                <w:rFonts w:ascii="Times New Roman" w:hAnsi="Times New Roman"/>
                <w:sz w:val="24"/>
                <w:szCs w:val="24"/>
              </w:rPr>
              <w:t xml:space="preserve"> І.А.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Батицька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8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ст. 44 ЗУ «Про державну службу» забезпечити  проведення щорічного оцінювання результатів службової діяльності державних службовців апеляційного суду 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жовтень-грудень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/>
                <w:sz w:val="24"/>
                <w:szCs w:val="24"/>
              </w:rPr>
              <w:t>Миткевич</w:t>
            </w:r>
            <w:proofErr w:type="spellEnd"/>
            <w:r w:rsidRPr="008323EE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структурних підрозділів суду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338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 xml:space="preserve">Складання графіку відпусток суддів та працівників апарату суду на 2023 рік  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/>
                <w:sz w:val="24"/>
                <w:szCs w:val="24"/>
              </w:rPr>
              <w:t>Миткевич</w:t>
            </w:r>
            <w:proofErr w:type="spellEnd"/>
            <w:r w:rsidRPr="008323EE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/>
                <w:sz w:val="24"/>
                <w:szCs w:val="24"/>
              </w:rPr>
              <w:t>Страшнова</w:t>
            </w:r>
            <w:proofErr w:type="spellEnd"/>
            <w:r w:rsidRPr="008323EE">
              <w:rPr>
                <w:rFonts w:ascii="Times New Roman" w:hAnsi="Times New Roman"/>
                <w:sz w:val="24"/>
                <w:szCs w:val="24"/>
              </w:rPr>
              <w:t xml:space="preserve">  І.А.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390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Відстеження змін і доповнень, що вносяться до антикорупційного законодавства з метою своєчасного інформування про них працівників суду.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Дубина Ю.А.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82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Ведення обліково статистичної роботи суду. Підготовка періодичних звітів та надання актуальної статистичної інформації про роботу суду.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Фомичова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12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after="15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Проведення заходів у рамках роботи Центру професійного розвитку, організаційно-технічний супровід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Кривонос Т.І.,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Гайдай Л.Л.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82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after="15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Здійснення заходів щодо виявлення конфлікту інтересів та його усунення, а також виявлення сприятливих для вчинення корупційних ризиків у діяльності посадових і службових осіб, встановлення ознак прямого підпорядкування.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Дубина Ю.А.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2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3"/>
              </w:numPr>
              <w:tabs>
                <w:tab w:val="left" w:pos="496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after="15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Відповідно до Законів України «Про державну службу» та «Про  запобігання  корупції» організація необхідної підготовчої роботи для  забезпечення своєчасного електронного декларування доходів суддями, державними службовцями апеляційного суду у 2022 році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трьох  місяців після закінчення війни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Дубина Ю.А.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Полєно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40"/>
          <w:jc w:val="center"/>
        </w:trPr>
        <w:tc>
          <w:tcPr>
            <w:tcW w:w="15036" w:type="dxa"/>
            <w:gridSpan w:val="8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b/>
                <w:sz w:val="24"/>
                <w:szCs w:val="24"/>
              </w:rPr>
              <w:t>ІІІ. Адміністративно-господарська робота</w:t>
            </w:r>
          </w:p>
        </w:tc>
      </w:tr>
      <w:tr w:rsidR="00F34EED" w:rsidRPr="008323EE" w:rsidTr="007849F4">
        <w:trPr>
          <w:trHeight w:val="22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a4"/>
              <w:spacing w:after="150"/>
            </w:pPr>
            <w:r w:rsidRPr="008323EE">
              <w:t>Контроль за використанням бюджетних коштів з метою цільового та більш економного їх використання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Салай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Кезько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8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a4"/>
              <w:spacing w:after="150"/>
              <w:rPr>
                <w:noProof/>
              </w:rPr>
            </w:pPr>
            <w:r w:rsidRPr="008323EE">
              <w:rPr>
                <w:noProof/>
              </w:rPr>
              <w:t>Звітувати про виконання індивідуального кошторису та паспорта бюджетної програми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noProof/>
                <w:sz w:val="24"/>
                <w:szCs w:val="24"/>
              </w:rPr>
              <w:t>щоквартально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5"/>
              <w:spacing w:line="276" w:lineRule="auto"/>
              <w:ind w:right="0"/>
              <w:jc w:val="left"/>
              <w:rPr>
                <w:noProof/>
                <w:sz w:val="24"/>
                <w:szCs w:val="24"/>
              </w:rPr>
            </w:pPr>
            <w:r w:rsidRPr="008323EE">
              <w:rPr>
                <w:noProof/>
                <w:sz w:val="24"/>
                <w:szCs w:val="24"/>
              </w:rPr>
              <w:t>Кезько Т.М.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11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a4"/>
              <w:spacing w:after="150"/>
              <w:rPr>
                <w:noProof/>
              </w:rPr>
            </w:pPr>
            <w:r w:rsidRPr="008323EE">
              <w:rPr>
                <w:noProof/>
              </w:rPr>
              <w:t xml:space="preserve"> Здійснювати  розрахунки, які обґрунтовують показники видатків бюджету, що включаються до проекту кошторису та є невідємною частиною кошторису та паспортів бюджетної програми на 2022 рік звітувати  до ДСАУ.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noProof/>
                <w:sz w:val="24"/>
                <w:szCs w:val="24"/>
              </w:rPr>
              <w:t>щоквартально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5"/>
              <w:spacing w:line="276" w:lineRule="auto"/>
              <w:ind w:right="0"/>
              <w:jc w:val="both"/>
              <w:rPr>
                <w:noProof/>
                <w:sz w:val="24"/>
                <w:szCs w:val="24"/>
              </w:rPr>
            </w:pPr>
            <w:r w:rsidRPr="008323EE">
              <w:rPr>
                <w:noProof/>
                <w:sz w:val="24"/>
                <w:szCs w:val="24"/>
              </w:rPr>
              <w:t>КезькоТ.М.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87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after="150"/>
              <w:rPr>
                <w:b w:val="0"/>
                <w:bCs w:val="0"/>
                <w:noProof/>
                <w:sz w:val="24"/>
                <w:szCs w:val="24"/>
              </w:rPr>
            </w:pPr>
            <w:r w:rsidRPr="008323EE">
              <w:rPr>
                <w:b w:val="0"/>
                <w:bCs w:val="0"/>
                <w:noProof/>
                <w:sz w:val="24"/>
                <w:szCs w:val="24"/>
              </w:rPr>
              <w:t>При потребі направляти до ДСА України подання про зміни в розрахунках до кошторису за рахунок інших статей видатків перерозподіляти кошторисні призначення за загальним та спеціальним фондом.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noProof/>
                <w:sz w:val="24"/>
                <w:szCs w:val="24"/>
              </w:rPr>
              <w:t>протягом півроку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noProof/>
                <w:sz w:val="24"/>
                <w:szCs w:val="24"/>
              </w:rPr>
              <w:t>Кезько Т.М.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373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Підтримка антивірусного захисту в інформаційній інфраструктурі суду,  комплексах фіксації судових засідань в залах судових засідань в актуальному стані.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Величко В.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02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Оприлюднення інформації про використання публічних коштів на офіційному порталі публічних фінансів України Е-DATA.gov.ua: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1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sz w:val="24"/>
                <w:szCs w:val="24"/>
              </w:rPr>
              <w:t xml:space="preserve">Планування та проведення закупівель відповідно до потреб суду 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/>
                <w:sz w:val="24"/>
                <w:szCs w:val="24"/>
              </w:rPr>
              <w:t>Марков</w:t>
            </w:r>
            <w:proofErr w:type="spellEnd"/>
            <w:r w:rsidRPr="008323EE">
              <w:rPr>
                <w:rFonts w:ascii="Times New Roman" w:hAnsi="Times New Roman"/>
                <w:sz w:val="24"/>
                <w:szCs w:val="24"/>
              </w:rPr>
              <w:t xml:space="preserve"> В.В. 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Гайдай В.М.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34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Прийняти участь в організації та проведенні процедур закупівель товарів, робіт та послуг за державні кошти відповідно до річного плану на 2022 рік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Гайдай В.М.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6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Організація та контроль проведення робіт по поточному ремонту приміщень (встановленні вікон, тощо) Чернігівського апеляційного суду</w:t>
            </w:r>
            <w:r w:rsidRPr="008323EE">
              <w:rPr>
                <w:b w:val="0"/>
                <w:bCs w:val="0"/>
                <w:sz w:val="24"/>
                <w:szCs w:val="24"/>
                <w:lang w:eastAsia="ru-RU"/>
              </w:rPr>
              <w:t xml:space="preserve"> по вул. Гетьмана Полуботка, 2 в </w:t>
            </w:r>
            <w:proofErr w:type="spellStart"/>
            <w:r w:rsidRPr="008323EE">
              <w:rPr>
                <w:b w:val="0"/>
                <w:bCs w:val="0"/>
                <w:sz w:val="24"/>
                <w:szCs w:val="24"/>
                <w:lang w:eastAsia="ru-RU"/>
              </w:rPr>
              <w:t>м.Чернігові</w:t>
            </w:r>
            <w:proofErr w:type="spellEnd"/>
            <w:r w:rsidRPr="008323EE">
              <w:rPr>
                <w:b w:val="0"/>
                <w:bCs w:val="0"/>
                <w:sz w:val="24"/>
                <w:szCs w:val="24"/>
              </w:rPr>
              <w:t>, які зазнали</w:t>
            </w:r>
            <w:r w:rsidRPr="008323EE">
              <w:rPr>
                <w:b w:val="0"/>
                <w:bCs w:val="0"/>
                <w:sz w:val="24"/>
                <w:szCs w:val="24"/>
                <w:lang w:eastAsia="ru-RU"/>
              </w:rPr>
              <w:t xml:space="preserve"> пошкоджень </w:t>
            </w:r>
            <w:r w:rsidRPr="008323EE">
              <w:rPr>
                <w:b w:val="0"/>
                <w:bCs w:val="0"/>
                <w:color w:val="1F2124"/>
                <w:sz w:val="24"/>
                <w:szCs w:val="24"/>
                <w:shd w:val="clear" w:color="auto" w:fill="FFFFFF"/>
              </w:rPr>
              <w:t>внаслідок військової агресії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 при наявності коштів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Гайдай В.М.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spellEnd"/>
            <w:r w:rsidRPr="008323E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18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Прийняти участь в організації та проведенні процедури списання матеріальних цінностей які підлягають списанню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Гайдай В.М.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70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ind w:left="611" w:hanging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2267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Завершення робіт по заміні старих люмінесцентних світильників на сучасні енергозберігаючі світлодіодні панелі в робочих кабінетах судів та працівників суду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Прищепа А.А.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Гончар А.П.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55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 xml:space="preserve">Організація проведення навчальних занять з  працівниками </w:t>
            </w:r>
            <w:r w:rsidRPr="008323EE">
              <w:rPr>
                <w:b w:val="0"/>
                <w:bCs w:val="0"/>
                <w:sz w:val="24"/>
                <w:szCs w:val="24"/>
              </w:rPr>
              <w:lastRenderedPageBreak/>
              <w:t xml:space="preserve">суду з правил пожежної безпеки та цивільного захисту за участю представників державної служби з надзвичайних ситуацій  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протягом </w:t>
            </w:r>
            <w:r w:rsidRPr="00832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півріччя 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lastRenderedPageBreak/>
              <w:t>Остапенко Ю.М.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lastRenderedPageBreak/>
              <w:t>Гайдай В.М.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40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Проведення робіт по підготовці приміщення суду до осінньо-зимового періоду 2022-2023. Технічне обслуговування  системи опалення.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Гайдай В.М.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ED" w:rsidRPr="008323EE" w:rsidTr="007849F4">
        <w:trPr>
          <w:trHeight w:val="217"/>
          <w:jc w:val="center"/>
        </w:trPr>
        <w:tc>
          <w:tcPr>
            <w:tcW w:w="577" w:type="dxa"/>
          </w:tcPr>
          <w:p w:rsidR="00F34EED" w:rsidRPr="008323EE" w:rsidRDefault="00F34EED" w:rsidP="00F34EED">
            <w:pPr>
              <w:pStyle w:val="a7"/>
              <w:numPr>
                <w:ilvl w:val="0"/>
                <w:numId w:val="1"/>
              </w:num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34EED" w:rsidRPr="008323EE" w:rsidRDefault="00F34EED" w:rsidP="00F34EED">
            <w:pPr>
              <w:pStyle w:val="1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sz w:val="24"/>
                <w:szCs w:val="24"/>
              </w:rPr>
            </w:pPr>
            <w:r w:rsidRPr="008323EE">
              <w:rPr>
                <w:b w:val="0"/>
                <w:bCs w:val="0"/>
                <w:sz w:val="24"/>
                <w:szCs w:val="24"/>
              </w:rPr>
              <w:t>Прийняти участь в проведенні щорічної, повної інвентаризації станом на 01.10.2022року.</w:t>
            </w:r>
          </w:p>
        </w:tc>
        <w:tc>
          <w:tcPr>
            <w:tcW w:w="1701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протягом півріччя</w:t>
            </w:r>
          </w:p>
        </w:tc>
        <w:tc>
          <w:tcPr>
            <w:tcW w:w="4253" w:type="dxa"/>
            <w:gridSpan w:val="2"/>
          </w:tcPr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Остапенко Ю.М.</w:t>
            </w:r>
          </w:p>
          <w:p w:rsidR="00F34EED" w:rsidRPr="008323EE" w:rsidRDefault="00F34EED" w:rsidP="00F34E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23EE">
              <w:rPr>
                <w:rFonts w:ascii="Times New Roman" w:hAnsi="Times New Roman"/>
                <w:sz w:val="24"/>
                <w:szCs w:val="24"/>
              </w:rPr>
              <w:t>Гайдай В.М.</w:t>
            </w:r>
          </w:p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3EE">
              <w:rPr>
                <w:rFonts w:ascii="Times New Roman" w:hAnsi="Times New Roman" w:cs="Times New Roman"/>
                <w:sz w:val="24"/>
                <w:szCs w:val="24"/>
              </w:rPr>
              <w:t>Прищепа А.А.</w:t>
            </w:r>
          </w:p>
        </w:tc>
        <w:tc>
          <w:tcPr>
            <w:tcW w:w="1843" w:type="dxa"/>
            <w:gridSpan w:val="2"/>
          </w:tcPr>
          <w:p w:rsidR="00F34EED" w:rsidRPr="008323EE" w:rsidRDefault="00F34EED" w:rsidP="00F34EED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705" w:rsidRPr="008323EE" w:rsidRDefault="008B6705" w:rsidP="0019183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6705" w:rsidRPr="008323EE" w:rsidSect="00BE05CB">
      <w:pgSz w:w="16838" w:h="11906" w:orient="landscape"/>
      <w:pgMar w:top="567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400B"/>
    <w:multiLevelType w:val="hybridMultilevel"/>
    <w:tmpl w:val="D7BAACC4"/>
    <w:lvl w:ilvl="0" w:tplc="4B94ECA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C0E60"/>
    <w:multiLevelType w:val="hybridMultilevel"/>
    <w:tmpl w:val="EE6AF9F0"/>
    <w:lvl w:ilvl="0" w:tplc="0504E4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424FD"/>
    <w:multiLevelType w:val="hybridMultilevel"/>
    <w:tmpl w:val="DF0A3C76"/>
    <w:lvl w:ilvl="0" w:tplc="FFB087C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B6705"/>
    <w:rsid w:val="00043950"/>
    <w:rsid w:val="0010386B"/>
    <w:rsid w:val="001335CE"/>
    <w:rsid w:val="00191831"/>
    <w:rsid w:val="001C5E6A"/>
    <w:rsid w:val="001C7634"/>
    <w:rsid w:val="00205CD2"/>
    <w:rsid w:val="00212F77"/>
    <w:rsid w:val="002762DE"/>
    <w:rsid w:val="0037536F"/>
    <w:rsid w:val="003F0043"/>
    <w:rsid w:val="00427D1D"/>
    <w:rsid w:val="0043333A"/>
    <w:rsid w:val="004603D7"/>
    <w:rsid w:val="004834AB"/>
    <w:rsid w:val="004A1F9B"/>
    <w:rsid w:val="004C599C"/>
    <w:rsid w:val="004E1B9D"/>
    <w:rsid w:val="005161EC"/>
    <w:rsid w:val="005172C1"/>
    <w:rsid w:val="00533FA5"/>
    <w:rsid w:val="005463FB"/>
    <w:rsid w:val="00567F49"/>
    <w:rsid w:val="00600275"/>
    <w:rsid w:val="00644EBA"/>
    <w:rsid w:val="0067423D"/>
    <w:rsid w:val="006C6B84"/>
    <w:rsid w:val="0071191C"/>
    <w:rsid w:val="007278F5"/>
    <w:rsid w:val="00733F9C"/>
    <w:rsid w:val="00760879"/>
    <w:rsid w:val="007849F4"/>
    <w:rsid w:val="008323EE"/>
    <w:rsid w:val="00857D56"/>
    <w:rsid w:val="008B6705"/>
    <w:rsid w:val="008C04D8"/>
    <w:rsid w:val="0092267D"/>
    <w:rsid w:val="00950363"/>
    <w:rsid w:val="00975911"/>
    <w:rsid w:val="009F2CF7"/>
    <w:rsid w:val="00A00936"/>
    <w:rsid w:val="00A27C63"/>
    <w:rsid w:val="00A5310C"/>
    <w:rsid w:val="00A87917"/>
    <w:rsid w:val="00AB0942"/>
    <w:rsid w:val="00B41F98"/>
    <w:rsid w:val="00B515A4"/>
    <w:rsid w:val="00B80630"/>
    <w:rsid w:val="00BE05CB"/>
    <w:rsid w:val="00C50A52"/>
    <w:rsid w:val="00C753C4"/>
    <w:rsid w:val="00C8112F"/>
    <w:rsid w:val="00C9385B"/>
    <w:rsid w:val="00D047E2"/>
    <w:rsid w:val="00D179B3"/>
    <w:rsid w:val="00D23649"/>
    <w:rsid w:val="00D36031"/>
    <w:rsid w:val="00D97388"/>
    <w:rsid w:val="00E6065E"/>
    <w:rsid w:val="00ED2BBC"/>
    <w:rsid w:val="00F167EA"/>
    <w:rsid w:val="00F3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05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B6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705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B41F9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4E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semiHidden/>
    <w:unhideWhenUsed/>
    <w:rsid w:val="00C9385B"/>
    <w:pPr>
      <w:spacing w:after="0" w:line="240" w:lineRule="auto"/>
      <w:ind w:right="-48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9385B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6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59CE-DB34-43F3-8A28-5199E4DD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4884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2022-07-21T07:50:00Z</cp:lastPrinted>
  <dcterms:created xsi:type="dcterms:W3CDTF">2022-07-13T10:36:00Z</dcterms:created>
  <dcterms:modified xsi:type="dcterms:W3CDTF">2022-08-15T12:00:00Z</dcterms:modified>
</cp:coreProperties>
</file>